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606"/>
        <w:gridCol w:w="1606"/>
        <w:gridCol w:w="1607"/>
        <w:gridCol w:w="1606"/>
        <w:gridCol w:w="1608"/>
      </w:tblGrid>
      <w:tr>
        <w:trPr/>
        <w:tc>
          <w:tcPr>
            <w:tcW w:w="9638" w:type="dxa"/>
            <w:gridSpan w:val="6"/>
            <w:tcBorders/>
          </w:tcPr>
          <w:p>
            <w:pPr>
              <w:pStyle w:val="Tabelindhold"/>
              <w:pageBreakBefore/>
              <w:jc w:val="center"/>
              <w:rPr>
                <w:b/>
                <w:b/>
                <w:bCs/>
                <w:color w:val="C9211E"/>
                <w:u w:val="single"/>
              </w:rPr>
            </w:pPr>
            <w:r>
              <w:rPr>
                <w:b/>
                <w:bCs/>
                <w:color w:val="C9211E"/>
                <w:u w:val="single"/>
              </w:rPr>
              <w:t>KLITMØLLER SPEJDERNES RØDE TRÅD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FAMILIE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MIKRO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MINI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TROP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FÆRDIGHEDS MÆRKER</w:t>
            </w:r>
          </w:p>
          <w:p>
            <w:pPr>
              <w:pStyle w:val="Tabelindhold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8033" w:type="dxa"/>
            <w:gridSpan w:val="5"/>
            <w:tcBorders/>
          </w:tcPr>
          <w:p>
            <w:pPr>
              <w:pStyle w:val="Tabelindhold"/>
              <w:rPr>
                <w:i/>
                <w:i/>
                <w:iCs/>
              </w:rPr>
            </w:pPr>
            <w:r>
              <w:rPr>
                <w:i/>
                <w:iCs/>
              </w:rPr>
              <w:t>Færdighedsmærker tages/repeteres hvert år.</w:t>
            </w:r>
          </w:p>
          <w:p>
            <w:pPr>
              <w:pStyle w:val="Tabelindhold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Husk at bruge de små lommebøger, gnisten, flammen, ilden og bålet, </w:t>
            </w:r>
            <w:r>
              <w:rPr>
                <w:i/>
                <w:iCs/>
              </w:rPr>
              <w:t>så spejderne får vænnet sig til at have den med hver gang og får den op ad lommen og brugt.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FÆRDIGHEDSMÆRKER 1.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Familiespejder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Førstehjælp 1</w:t>
            </w:r>
          </w:p>
          <w:p>
            <w:pPr>
              <w:pStyle w:val="Tabelindhold"/>
              <w:rPr/>
            </w:pPr>
            <w:r>
              <w:rPr/>
              <w:t>Kniv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  <w:t>Selvstændig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Førstehjælp 3</w:t>
            </w:r>
          </w:p>
          <w:p>
            <w:pPr>
              <w:pStyle w:val="Tabelindhold"/>
              <w:rPr/>
            </w:pPr>
            <w:r>
              <w:rPr/>
              <w:t>Bål</w:t>
            </w:r>
          </w:p>
          <w:p>
            <w:pPr>
              <w:pStyle w:val="Tabelindhold"/>
              <w:rPr/>
            </w:pPr>
            <w:r>
              <w:rPr/>
              <w:t>Økse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  <w:t>Førstehjælp 4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FÆRDIGHEDS MÆRKER.</w:t>
            </w:r>
          </w:p>
          <w:p>
            <w:pPr>
              <w:pStyle w:val="Tabelindhold"/>
              <w:rPr/>
            </w:pPr>
            <w:r>
              <w:rPr/>
              <w:t>2.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Trøster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Klar dig selv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  <w:t>Førstehjælp 2</w:t>
            </w:r>
          </w:p>
          <w:p>
            <w:pPr>
              <w:pStyle w:val="Tabelindhold"/>
              <w:rPr/>
            </w:pPr>
            <w:r>
              <w:rPr/>
              <w:t xml:space="preserve">Sav 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På egen hånd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  <w:t>Kano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>
                <w:b/>
                <w:b/>
                <w:bCs/>
              </w:rPr>
            </w:pPr>
            <w:r>
              <w:rPr>
                <w:b/>
                <w:bCs/>
              </w:rPr>
              <w:t>FOKUS MÆRKER</w:t>
            </w:r>
          </w:p>
        </w:tc>
        <w:tc>
          <w:tcPr>
            <w:tcW w:w="8033" w:type="dxa"/>
            <w:gridSpan w:val="5"/>
            <w:tcBorders/>
          </w:tcPr>
          <w:p>
            <w:pPr>
              <w:pStyle w:val="Tabelindhold"/>
              <w:rPr/>
            </w:pPr>
            <w:r>
              <w:rPr/>
              <w:t xml:space="preserve">Fokusmærker er fordelt på 2 år. </w:t>
            </w:r>
          </w:p>
          <w:p>
            <w:pPr>
              <w:pStyle w:val="Tabelindhold"/>
              <w:rPr/>
            </w:pPr>
            <w:r>
              <w:rPr/>
              <w:t xml:space="preserve">Mærkebeskrivelser og aktivitetsforslag kan findes på </w:t>
            </w:r>
            <w:hyperlink r:id="rId2">
              <w:r>
                <w:rPr>
                  <w:rStyle w:val="Hyperlink"/>
                </w:rPr>
                <w:t>www.dds.dk/maerker</w:t>
              </w:r>
            </w:hyperlink>
            <w:r>
              <w:rPr/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FOKUS MÆRKER LIGE ÅR.        1.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Krible krable</w:t>
            </w:r>
          </w:p>
          <w:p>
            <w:pPr>
              <w:pStyle w:val="Tabelindhold"/>
              <w:rPr/>
            </w:pPr>
            <w:r>
              <w:rPr/>
              <w:t>Sporfølger</w:t>
            </w:r>
          </w:p>
          <w:p>
            <w:pPr>
              <w:pStyle w:val="Tabelindhold"/>
              <w:rPr/>
            </w:pPr>
            <w:r>
              <w:rPr/>
            </w:r>
          </w:p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En god kammerat</w:t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  <w:t>Cirkusartist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Bålkok</w:t>
            </w:r>
          </w:p>
          <w:p>
            <w:pPr>
              <w:pStyle w:val="Tabelindhold"/>
              <w:jc w:val="left"/>
              <w:rPr/>
            </w:pPr>
            <w:r>
              <w:rPr/>
              <w:t>Filmmager</w:t>
            </w:r>
          </w:p>
          <w:p>
            <w:pPr>
              <w:pStyle w:val="Tabelindhold"/>
              <w:jc w:val="left"/>
              <w:rPr/>
            </w:pPr>
            <w:r>
              <w:rPr/>
              <w:t>Øde Ø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Hiker</w:t>
            </w:r>
          </w:p>
          <w:p>
            <w:pPr>
              <w:pStyle w:val="Tabelindhold"/>
              <w:jc w:val="left"/>
              <w:rPr/>
            </w:pPr>
            <w:r>
              <w:rPr/>
              <w:t>Konfliktløser Lejrarkitekt Performer</w:t>
            </w:r>
          </w:p>
          <w:p>
            <w:pPr>
              <w:pStyle w:val="Tabelindhold"/>
              <w:jc w:val="left"/>
              <w:rPr/>
            </w:pPr>
            <w:r>
              <w:rPr/>
              <w:t>Dine rettigheder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AdventurespejdBasecamp</w:t>
            </w:r>
          </w:p>
          <w:p>
            <w:pPr>
              <w:pStyle w:val="Tabelindhold"/>
              <w:jc w:val="left"/>
              <w:rPr/>
            </w:pPr>
            <w:r>
              <w:rPr/>
              <w:t>Glamping</w:t>
            </w:r>
          </w:p>
          <w:p>
            <w:pPr>
              <w:pStyle w:val="Tabelindhold"/>
              <w:jc w:val="left"/>
              <w:rPr/>
            </w:pPr>
            <w:r>
              <w:rPr/>
              <w:t>Masterchef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FOKUS MÆRKER LIGE ÅR.</w:t>
            </w:r>
          </w:p>
          <w:p>
            <w:pPr>
              <w:pStyle w:val="Tabelindhold"/>
              <w:rPr/>
            </w:pPr>
            <w:r>
              <w:rPr/>
              <w:t>2.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Skovens dyr</w:t>
            </w:r>
          </w:p>
          <w:p>
            <w:pPr>
              <w:pStyle w:val="Tabelindhold"/>
              <w:rPr/>
            </w:pPr>
            <w:r>
              <w:rPr/>
              <w:t>Udesover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Spis naturen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Hvem er jeg</w:t>
            </w:r>
          </w:p>
          <w:p>
            <w:pPr>
              <w:pStyle w:val="Tabelindhold"/>
              <w:jc w:val="left"/>
              <w:rPr/>
            </w:pPr>
            <w:r>
              <w:rPr/>
              <w:t>En god gerning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Survivor</w:t>
            </w:r>
          </w:p>
          <w:p>
            <w:pPr>
              <w:pStyle w:val="Tabelindhold"/>
              <w:jc w:val="left"/>
              <w:rPr/>
            </w:pPr>
            <w:r>
              <w:rPr/>
              <w:t>T</w:t>
            </w:r>
            <w:r>
              <w:rPr/>
              <w:t>eatersport</w:t>
            </w:r>
          </w:p>
          <w:p>
            <w:pPr>
              <w:pStyle w:val="Tabelindhold"/>
              <w:jc w:val="left"/>
              <w:rPr/>
            </w:pPr>
            <w:r>
              <w:rPr/>
              <w:t>Trangiachamp Vinterbivy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Nej cap</w:t>
            </w:r>
          </w:p>
          <w:p>
            <w:pPr>
              <w:pStyle w:val="Tabelindhold"/>
              <w:jc w:val="left"/>
              <w:rPr/>
            </w:pPr>
            <w:r>
              <w:rPr/>
              <w:t>Ro på</w:t>
            </w:r>
          </w:p>
          <w:p>
            <w:pPr>
              <w:pStyle w:val="Tabelindhold"/>
              <w:jc w:val="left"/>
              <w:rPr/>
            </w:pPr>
            <w:r>
              <w:rPr/>
              <w:t>Vores rettigheder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FOKUS MÆRKER ULIGE ÅR.     1.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Fra jord til bord</w:t>
            </w:r>
          </w:p>
          <w:p>
            <w:pPr>
              <w:pStyle w:val="Tabelindhold"/>
              <w:jc w:val="left"/>
              <w:rPr/>
            </w:pPr>
            <w:r>
              <w:rPr/>
              <w:t>Legemester</w:t>
            </w:r>
          </w:p>
        </w:tc>
        <w:tc>
          <w:tcPr>
            <w:tcW w:w="1606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Hulebygger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ansekender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Kulturspejder</w:t>
            </w:r>
          </w:p>
          <w:p>
            <w:pPr>
              <w:pStyle w:val="Tabelindhold"/>
              <w:jc w:val="left"/>
              <w:rPr/>
            </w:pPr>
            <w:r>
              <w:rPr/>
              <w:t>Lejrbålsarrangør</w:t>
            </w:r>
          </w:p>
          <w:p>
            <w:pPr>
              <w:pStyle w:val="Tabelindhold"/>
              <w:jc w:val="left"/>
              <w:rPr/>
            </w:pPr>
            <w:r>
              <w:rPr/>
              <w:t>Nørd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E</w:t>
            </w:r>
            <w:r>
              <w:rPr/>
              <w:t>n god patrulje Opfinder</w:t>
            </w:r>
          </w:p>
          <w:p>
            <w:pPr>
              <w:pStyle w:val="Tabelindhold"/>
              <w:jc w:val="left"/>
              <w:rPr/>
            </w:pPr>
            <w:r>
              <w:rPr/>
              <w:t>Smagsdommer orienteringsløb-er</w:t>
            </w:r>
          </w:p>
          <w:p>
            <w:pPr>
              <w:pStyle w:val="Tabelindhold"/>
              <w:jc w:val="left"/>
              <w:rPr/>
            </w:pPr>
            <w:r>
              <w:rPr/>
              <w:t>Vild ro</w:t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Alene i vildmarken</w:t>
            </w:r>
          </w:p>
          <w:p>
            <w:pPr>
              <w:pStyle w:val="Tabelindhold"/>
              <w:jc w:val="left"/>
              <w:rPr/>
            </w:pPr>
            <w:r>
              <w:rPr/>
              <w:t>D</w:t>
            </w:r>
            <w:r>
              <w:rPr/>
              <w:t>et kolde gys Influenceer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FOKUSMÆRKER ULIGE ÅR. 2. HALVÅR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Haletudse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Skattejæger</w:t>
            </w:r>
          </w:p>
          <w:p>
            <w:pPr>
              <w:pStyle w:val="Tabelindhold"/>
              <w:rPr/>
            </w:pPr>
            <w:r>
              <w:rPr/>
              <w:t>Stjernekigger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  <w:t>Raftebygger</w:t>
            </w:r>
          </w:p>
          <w:p>
            <w:pPr>
              <w:pStyle w:val="Tabelindhold"/>
              <w:rPr/>
            </w:pPr>
            <w:r>
              <w:rPr/>
              <w:t>Stifinder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Kulturagent</w:t>
            </w:r>
          </w:p>
          <w:p>
            <w:pPr>
              <w:pStyle w:val="Tabelindhold"/>
              <w:jc w:val="left"/>
              <w:rPr/>
            </w:pPr>
            <w:r>
              <w:rPr/>
              <w:t>Kodehoved</w:t>
            </w:r>
          </w:p>
          <w:p>
            <w:pPr>
              <w:pStyle w:val="Tabelindhold"/>
              <w:jc w:val="left"/>
              <w:rPr/>
            </w:pPr>
            <w:r>
              <w:rPr/>
              <w:t>Fra fjord til bord</w:t>
            </w:r>
          </w:p>
          <w:p>
            <w:pPr>
              <w:pStyle w:val="Tabelindhold"/>
              <w:jc w:val="left"/>
              <w:rPr/>
            </w:pPr>
            <w:r>
              <w:rPr/>
              <w:t>Bygherre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Mikroeventyr</w:t>
            </w:r>
          </w:p>
          <w:p>
            <w:pPr>
              <w:pStyle w:val="Tabelindhold"/>
              <w:jc w:val="left"/>
              <w:rPr/>
            </w:pPr>
            <w:r>
              <w:rPr/>
              <w:t>Top tur</w:t>
            </w:r>
          </w:p>
          <w:p>
            <w:pPr>
              <w:pStyle w:val="Tabelindhold"/>
              <w:jc w:val="left"/>
              <w:rPr/>
            </w:pPr>
            <w:r>
              <w:rPr/>
              <w:t>Triple challen</w:t>
            </w:r>
            <w:r>
              <w:rPr/>
              <w:t>g</w:t>
            </w:r>
            <w:r>
              <w:rPr/>
              <w:t>e</w:t>
            </w:r>
          </w:p>
          <w:p>
            <w:pPr>
              <w:pStyle w:val="Tabelindhold"/>
              <w:jc w:val="left"/>
              <w:rPr/>
            </w:pPr>
            <w:r>
              <w:rPr/>
              <w:t>W</w:t>
            </w:r>
            <w:r>
              <w:rPr/>
              <w:t>oop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KILOMETER MÆRKER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Normal"/>
              <w:rPr/>
            </w:pPr>
            <w:r>
              <w:rPr/>
              <w:t>5 kilometer</w:t>
            </w:r>
          </w:p>
        </w:tc>
        <w:tc>
          <w:tcPr>
            <w:tcW w:w="1607" w:type="dxa"/>
            <w:tcBorders/>
          </w:tcPr>
          <w:p>
            <w:pPr>
              <w:pStyle w:val="Normal"/>
              <w:rPr/>
            </w:pPr>
            <w:r>
              <w:rPr/>
              <w:t>10 kilometer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20 -30 kilometer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  <w:t>+ 50 kilometer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PATRULJER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Familierne kan betragtes som en lille patrulje, som løser opgaverne sammen.</w:t>
            </w:r>
          </w:p>
        </w:tc>
        <w:tc>
          <w:tcPr>
            <w:tcW w:w="1606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Ca.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4 spejdere pr. patrulje+1 voksen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der støtter patruljen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. 2. års mikroerne kan skiftes til at være PL.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PL opgaverne kan f.eks. være at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 står forrest, den der henter patruljestander,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patruljens kasse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 og lign.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Ca. 4-5 spejdere pr. patrulje. Man kan skiftes til at være PL og PA med skift ca. hvert halve år.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Der øves i at give små beskeder via PL og PA.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ca. 5 spejdere pr. patrulje.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Fast PL/PA.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Lederen giver beskeder gennem PL.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P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atruljen p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lanlægger og gennemfører selv en lille del af hvert møde – f.eks. en halv time.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5-6 spejdere pr. patrulje.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Fast PL/PA.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Planlægger selv , kan få vejlednings af tropslederne.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Må tage på tur selv.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jc w:val="left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EVALUERING</w:t>
            </w:r>
          </w:p>
        </w:tc>
        <w:tc>
          <w:tcPr>
            <w:tcW w:w="1606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Lille snak når der siges farvel. Lederne kan f.eks. spørge om det var sjovt, hyggelig, o.lign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Simpel evalueringsmetode. F.eks. flagsstangs evaluering eller hop evaluering, lige inden mødet afsluttes.</w:t>
            </w:r>
          </w:p>
          <w:p>
            <w:pPr>
              <w:pStyle w:val="Tabelindhold"/>
              <w:rPr/>
            </w:pPr>
            <w:r>
              <w:rPr/>
              <w:t xml:space="preserve"> </w:t>
            </w:r>
          </w:p>
          <w:p>
            <w:pPr>
              <w:pStyle w:val="Tabelindhold"/>
              <w:rPr/>
            </w:pPr>
            <w:r>
              <w:rPr/>
              <w:t>Evaluer også i herognu situationerne.</w:t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  <w:t>Simple evalueringsmetoder hvor der også sættes ord på, lige inden mødet afsluttes.</w:t>
            </w:r>
          </w:p>
          <w:p>
            <w:pPr>
              <w:pStyle w:val="Tabelindhold"/>
              <w:rPr/>
            </w:pPr>
            <w:r>
              <w:rPr/>
            </w:r>
          </w:p>
          <w:p>
            <w:pPr>
              <w:pStyle w:val="Tabelindhold"/>
              <w:rPr/>
            </w:pPr>
            <w:r>
              <w:rPr/>
              <w:t>Evaluer også i herognu situationerne.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  <w:t>Sæt god tid af ved mødets afslutning til mundtlig evaluering af mødet. Hvad var godt, hvad kan vi sammen øve os i at forbedre.</w:t>
            </w:r>
          </w:p>
          <w:p>
            <w:pPr>
              <w:pStyle w:val="Tabelindhold"/>
              <w:rPr/>
            </w:pPr>
            <w:r>
              <w:rPr/>
            </w:r>
          </w:p>
          <w:p>
            <w:pPr>
              <w:pStyle w:val="Tabelindhold"/>
              <w:rPr/>
            </w:pPr>
            <w:r>
              <w:rPr/>
              <w:t>Evaluer også i her og nu situationer.</w:t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  <w:t>Patruljen vejledes i brug af evaluering sidst på hvert møde. Bedstemors lov kunne være evalueringsmetoden.</w:t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  <w:t>MEDBESTEMMELSE</w:t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605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7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6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608" w:type="dxa"/>
            <w:tcBorders/>
          </w:tcPr>
          <w:p>
            <w:pPr>
              <w:pStyle w:val="Tabelind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widowControl w:val="false"/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ds.dk/maerke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LibreOffice/7.4.3.2$Windows_X86_64 LibreOffice_project/1048a8393ae2eeec98dff31b5c133c5f1d08b890</Application>
  <AppVersion>15.0000</AppVersion>
  <Pages>2</Pages>
  <Words>430</Words>
  <Characters>2411</Characters>
  <CharactersWithSpaces>2752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2023-08-09T20:28:31Z</dcterms:created>
  <dc:creator/>
  <dc:description/>
  <dc:language>da-DK</dc:language>
  <cp:lastModifiedBy/>
  <dcterms:modified xsi:type="dcterms:W3CDTF">2023-08-15T11:46:20Z</dcterms:modified>
  <cp:revision>6</cp:revision>
  <dc:subject/>
  <dc:title/>
</cp:coreProperties>
</file>